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59" w:rsidRPr="003B0359" w:rsidRDefault="00EA5907" w:rsidP="003B0359">
      <w:pPr>
        <w:spacing w:before="30" w:after="45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</w:pPr>
      <w:r w:rsidRPr="003B0359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6D0D04B5" wp14:editId="277A78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3255" cy="1952625"/>
            <wp:effectExtent l="0" t="0" r="0" b="9525"/>
            <wp:wrapSquare wrapText="bothSides"/>
            <wp:docPr id="1" name="Рисунок 2" descr="О введении особого противопожарного режима в Кузбассе - Yugs.Ru">
              <a:hlinkClick xmlns:a="http://schemas.openxmlformats.org/drawingml/2006/main" r:id="rId6" tgtFrame="&quot;_blank&quot;" tooltip="&quot;Смотреть оригинал фото на сайте: www.yugs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введении особого противопожарного режима в Кузбассе - Yugs.Ru">
                      <a:hlinkClick r:id="rId6" tgtFrame="&quot;_blank&quot;" tooltip="&quot;Смотреть оригинал фото на сайте: www.yugs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70" cy="19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59" w:rsidRPr="003B0359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  <w:t>О введении особого противопожарного режима в Кузбассе</w:t>
      </w:r>
    </w:p>
    <w:p w:rsidR="003B0359" w:rsidRPr="003B0359" w:rsidRDefault="003B0359" w:rsidP="003B0359">
      <w:pPr>
        <w:spacing w:after="0" w:line="34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8" w:tgtFrame="_blank" w:tooltip="Смотреть оригинал фото на сайте: www.yugs.ru" w:history="1"/>
    </w:p>
    <w:p w:rsidR="00EA5907" w:rsidRDefault="00EA5907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EA5907" w:rsidRDefault="00EA5907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 15 апреля в Кузбассе начал действовать особый противопожарный режим. Он продлится до 1 июня. В этот период устанавливаются дополнительные требования пожарной безопасности, также увеличиваются штрафные санкции за нарушение правил пожарной безопасности в два раза.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этот период вводится запрет на проведение различных пожароопасных работ (сжигание стерни и мусора, разведение костров), а также запрещается: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на территориях поселений и городских округов, на объектах садоводческих и </w:t>
      </w:r>
      <w:hyperlink r:id="rId9" w:tooltip="огороднических" w:history="1">
        <w:r w:rsidRPr="003B0359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огороднических</w:t>
        </w:r>
      </w:hyperlink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некоммерческих товарище</w:t>
      </w:r>
      <w:proofErr w:type="gram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ств гр</w:t>
      </w:r>
      <w:proofErr w:type="gram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аждан устраивать свалки горючих отходов;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загромождать противопожарные разрывы между строениями горючими материалами;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- на территориях, прилегающих к объектам, в том числе к жилым домам, а также к объектам садоводческих и огороднических некоммерческих товарище</w:t>
      </w:r>
      <w:proofErr w:type="gram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ств гр</w:t>
      </w:r>
      <w:proofErr w:type="gram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аждан, оставлять емкости с легковоспламеняющимися и горючими жидкостями, горючими газами.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Во время действия режима сотрудники МЧС России усиливают предупредительную работу, а также </w:t>
      </w:r>
      <w:proofErr w:type="gram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контроль за</w:t>
      </w:r>
      <w:proofErr w:type="gram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проведением противопожарных мероприятий. К этой работе привлекаются специалисты муниципальных образований, правоохранительных органов, </w:t>
      </w:r>
      <w:proofErr w:type="spell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лесопожарные</w:t>
      </w:r>
      <w:proofErr w:type="spell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бригады, представители общественности, добровольных формирований и старосты сельских поселений.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Под контролем также состояние </w:t>
      </w:r>
      <w:proofErr w:type="spell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водоисточников</w:t>
      </w:r>
      <w:proofErr w:type="spell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для целей пожаротушения в сельской местности, садоводческих и огороднических некоммерческих товарище</w:t>
      </w:r>
      <w:proofErr w:type="gramStart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ств гр</w:t>
      </w:r>
      <w:proofErr w:type="gramEnd"/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аждан, соблюдение гражданами требований особого </w:t>
      </w:r>
      <w:hyperlink r:id="rId10" w:tooltip="противопожарного" w:history="1">
        <w:r w:rsidRPr="003B0359">
          <w:rPr>
            <w:rFonts w:ascii="Arial" w:eastAsia="Times New Roman" w:hAnsi="Arial" w:cs="Arial"/>
            <w:color w:val="C61212"/>
            <w:sz w:val="26"/>
            <w:szCs w:val="26"/>
            <w:u w:val="single"/>
            <w:lang w:eastAsia="ru-RU"/>
          </w:rPr>
          <w:t>противопожарного</w:t>
        </w:r>
      </w:hyperlink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режима, разъяснительная работа с населением </w:t>
      </w: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о нормах пожарной безопасности и мерах ответственности за нарушения правил.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период действия особого противопожарного режима штрафные санкции за несоблюдение правил пожарной безопасности в подворьях и на полях увеличиваются. Так, для должностных лиц сумма штрафа при нарушении составит - от 15 000 до 30 000 рублей, для юридических лиц - от 200 000 до 400 000 рублей, для граждан - от 2 000 до 4 000 рублей.</w:t>
      </w:r>
    </w:p>
    <w:p w:rsidR="003B0359" w:rsidRPr="003B0359" w:rsidRDefault="003B0359" w:rsidP="00AE4207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:rsidR="003B0359" w:rsidRPr="003B0359" w:rsidRDefault="003B0359" w:rsidP="00AE4207">
      <w:pPr>
        <w:spacing w:after="0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B035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lang w:eastAsia="ru-RU"/>
        </w:rPr>
        <w:t>Источник: </w:t>
      </w:r>
      <w:r w:rsidRPr="003B0359"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>По информации Главного управления МЧС России по Кемеровской области</w:t>
      </w:r>
    </w:p>
    <w:p w:rsidR="003B0359" w:rsidRPr="003B0359" w:rsidRDefault="003B0359" w:rsidP="00AE4207">
      <w:pPr>
        <w:spacing w:after="150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B03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Источник: </w:t>
      </w:r>
      <w:proofErr w:type="spellStart"/>
      <w:r w:rsidRPr="003B03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3B03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"http://www.yugs.ru/novosti_2020/novosti_yurgi_i_yurginskogo_rajona/o_vvedenii_osobogo_protivopozharnogo_rezhima_v_kuzbasse/" \t "_blank" </w:instrText>
      </w:r>
      <w:r w:rsidRPr="003B03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3B0359">
        <w:rPr>
          <w:rFonts w:ascii="Arial" w:eastAsia="Times New Roman" w:hAnsi="Arial" w:cs="Arial"/>
          <w:color w:val="002455"/>
          <w:sz w:val="30"/>
          <w:szCs w:val="30"/>
          <w:u w:val="single"/>
          <w:lang w:eastAsia="ru-RU"/>
        </w:rPr>
        <w:t>Yugs.Ru</w:t>
      </w:r>
      <w:proofErr w:type="spellEnd"/>
      <w:r w:rsidRPr="003B0359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</w:p>
    <w:p w:rsidR="003B0359" w:rsidRDefault="003B0359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B03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15.04.2020 11:51</w:t>
      </w:r>
    </w:p>
    <w:p w:rsidR="00F734FE" w:rsidRDefault="00F734FE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34FE" w:rsidRDefault="00F734FE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34FE" w:rsidRDefault="00F734FE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34FE" w:rsidRDefault="00F734FE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734FE" w:rsidRP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</w:rPr>
      </w:pPr>
      <w:r w:rsidRPr="00F734FE">
        <w:rPr>
          <w:rFonts w:ascii="Arial" w:hAnsi="Arial" w:cs="Arial"/>
          <w:b/>
          <w:color w:val="3B4256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период действия особого противопожарного режима: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Fonts w:ascii="Arial" w:hAnsi="Arial" w:cs="Arial"/>
          <w:color w:val="3B4256"/>
        </w:rPr>
        <w:t>эксплуатирующихся</w:t>
      </w:r>
      <w:proofErr w:type="spellEnd"/>
      <w:r>
        <w:rPr>
          <w:rFonts w:ascii="Arial" w:hAnsi="Arial" w:cs="Arial"/>
          <w:color w:val="3B4256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устанавливается порядок </w:t>
      </w:r>
      <w:proofErr w:type="gramStart"/>
      <w:r>
        <w:rPr>
          <w:rFonts w:ascii="Arial" w:hAnsi="Arial" w:cs="Arial"/>
          <w:color w:val="3B4256"/>
        </w:rPr>
        <w:t>осуществления патрулирования мест группового размещения большегрузных контейнеров</w:t>
      </w:r>
      <w:proofErr w:type="gramEnd"/>
      <w:r>
        <w:rPr>
          <w:rFonts w:ascii="Arial" w:hAnsi="Arial" w:cs="Arial"/>
          <w:color w:val="3B4256"/>
        </w:rPr>
        <w:t xml:space="preserve"> силами патрульно-маневренных групп;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привлекается население для локализации пожаров вне границ населенных пунктов;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>
        <w:rPr>
          <w:rFonts w:ascii="Arial" w:hAnsi="Arial" w:cs="Arial"/>
          <w:color w:val="3B4256"/>
        </w:rPr>
        <w:t>сельхозпалов</w:t>
      </w:r>
      <w:proofErr w:type="spellEnd"/>
      <w:r>
        <w:rPr>
          <w:rFonts w:ascii="Arial" w:hAnsi="Arial" w:cs="Arial"/>
          <w:color w:val="3B4256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  <w:proofErr w:type="gramEnd"/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  <w:proofErr w:type="gramEnd"/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обеспечивается содержание в исправном состоянии естественных и искусственных </w:t>
      </w:r>
      <w:proofErr w:type="spellStart"/>
      <w:r>
        <w:rPr>
          <w:rFonts w:ascii="Arial" w:hAnsi="Arial" w:cs="Arial"/>
          <w:color w:val="3B4256"/>
        </w:rPr>
        <w:t>водоисточников</w:t>
      </w:r>
      <w:proofErr w:type="spellEnd"/>
      <w:r>
        <w:rPr>
          <w:rFonts w:ascii="Arial" w:hAnsi="Arial" w:cs="Arial"/>
          <w:color w:val="3B4256"/>
        </w:rPr>
        <w:t xml:space="preserve"> и подъездных путей для беспрепятственного забора воды пожарными автомобилями.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соответствии со статьей 20.4. Кодекса Российской Федерации об административных правонарушениях: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Нарушение требований пожарной безопасности, совершенные в условиях особого противопожарного режима:</w:t>
      </w:r>
      <w:proofErr w:type="gramEnd"/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влекут наложение административного штрафа на граждан в размере от 2 </w:t>
      </w:r>
      <w:proofErr w:type="spellStart"/>
      <w:r>
        <w:rPr>
          <w:rFonts w:ascii="Arial" w:hAnsi="Arial" w:cs="Arial"/>
          <w:color w:val="3B4256"/>
        </w:rPr>
        <w:t>тыс</w:t>
      </w:r>
      <w:proofErr w:type="gramStart"/>
      <w:r>
        <w:rPr>
          <w:rFonts w:ascii="Arial" w:hAnsi="Arial" w:cs="Arial"/>
          <w:color w:val="3B4256"/>
        </w:rPr>
        <w:t>.р</w:t>
      </w:r>
      <w:proofErr w:type="gramEnd"/>
      <w:r>
        <w:rPr>
          <w:rFonts w:ascii="Arial" w:hAnsi="Arial" w:cs="Arial"/>
          <w:color w:val="3B4256"/>
        </w:rPr>
        <w:t>ублей</w:t>
      </w:r>
      <w:proofErr w:type="spellEnd"/>
      <w:r>
        <w:rPr>
          <w:rFonts w:ascii="Arial" w:hAnsi="Arial" w:cs="Arial"/>
          <w:color w:val="3B4256"/>
        </w:rPr>
        <w:t xml:space="preserve">  до 4 </w:t>
      </w:r>
      <w:proofErr w:type="spellStart"/>
      <w:r>
        <w:rPr>
          <w:rFonts w:ascii="Arial" w:hAnsi="Arial" w:cs="Arial"/>
          <w:color w:val="3B4256"/>
        </w:rPr>
        <w:t>тыс.рублей</w:t>
      </w:r>
      <w:proofErr w:type="spellEnd"/>
      <w:r>
        <w:rPr>
          <w:rFonts w:ascii="Arial" w:hAnsi="Arial" w:cs="Arial"/>
          <w:color w:val="3B4256"/>
        </w:rPr>
        <w:t>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должностных лиц - от 15 </w:t>
      </w:r>
      <w:proofErr w:type="spellStart"/>
      <w:r>
        <w:rPr>
          <w:rFonts w:ascii="Arial" w:hAnsi="Arial" w:cs="Arial"/>
          <w:color w:val="3B4256"/>
        </w:rPr>
        <w:t>тыс</w:t>
      </w:r>
      <w:proofErr w:type="gramStart"/>
      <w:r>
        <w:rPr>
          <w:rFonts w:ascii="Arial" w:hAnsi="Arial" w:cs="Arial"/>
          <w:color w:val="3B4256"/>
        </w:rPr>
        <w:t>.р</w:t>
      </w:r>
      <w:proofErr w:type="gramEnd"/>
      <w:r>
        <w:rPr>
          <w:rFonts w:ascii="Arial" w:hAnsi="Arial" w:cs="Arial"/>
          <w:color w:val="3B4256"/>
        </w:rPr>
        <w:t>ублей</w:t>
      </w:r>
      <w:proofErr w:type="spellEnd"/>
      <w:r>
        <w:rPr>
          <w:rFonts w:ascii="Arial" w:hAnsi="Arial" w:cs="Arial"/>
          <w:color w:val="3B4256"/>
        </w:rPr>
        <w:t xml:space="preserve">  до 30 </w:t>
      </w:r>
      <w:proofErr w:type="spellStart"/>
      <w:r>
        <w:rPr>
          <w:rFonts w:ascii="Arial" w:hAnsi="Arial" w:cs="Arial"/>
          <w:color w:val="3B4256"/>
        </w:rPr>
        <w:t>тыс.рублей</w:t>
      </w:r>
      <w:proofErr w:type="spellEnd"/>
      <w:r>
        <w:rPr>
          <w:rFonts w:ascii="Arial" w:hAnsi="Arial" w:cs="Arial"/>
          <w:color w:val="3B4256"/>
        </w:rPr>
        <w:t>;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юридических лиц - от 200 </w:t>
      </w:r>
      <w:proofErr w:type="spellStart"/>
      <w:r>
        <w:rPr>
          <w:rFonts w:ascii="Arial" w:hAnsi="Arial" w:cs="Arial"/>
          <w:color w:val="3B4256"/>
        </w:rPr>
        <w:t>тыс</w:t>
      </w:r>
      <w:proofErr w:type="gramStart"/>
      <w:r>
        <w:rPr>
          <w:rFonts w:ascii="Arial" w:hAnsi="Arial" w:cs="Arial"/>
          <w:color w:val="3B4256"/>
        </w:rPr>
        <w:t>.р</w:t>
      </w:r>
      <w:proofErr w:type="gramEnd"/>
      <w:r>
        <w:rPr>
          <w:rFonts w:ascii="Arial" w:hAnsi="Arial" w:cs="Arial"/>
          <w:color w:val="3B4256"/>
        </w:rPr>
        <w:t>ублей</w:t>
      </w:r>
      <w:proofErr w:type="spellEnd"/>
      <w:r>
        <w:rPr>
          <w:rFonts w:ascii="Arial" w:hAnsi="Arial" w:cs="Arial"/>
          <w:color w:val="3B4256"/>
        </w:rPr>
        <w:t xml:space="preserve">  до 400 </w:t>
      </w:r>
      <w:proofErr w:type="spellStart"/>
      <w:r>
        <w:rPr>
          <w:rFonts w:ascii="Arial" w:hAnsi="Arial" w:cs="Arial"/>
          <w:color w:val="3B4256"/>
        </w:rPr>
        <w:t>тыс.рублей</w:t>
      </w:r>
      <w:proofErr w:type="spellEnd"/>
      <w:r>
        <w:rPr>
          <w:rFonts w:ascii="Arial" w:hAnsi="Arial" w:cs="Arial"/>
          <w:color w:val="3B4256"/>
        </w:rPr>
        <w:t>.</w:t>
      </w:r>
    </w:p>
    <w:p w:rsidR="00F734FE" w:rsidRDefault="00F734FE" w:rsidP="00F734FE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  <w:bookmarkStart w:id="0" w:name="_GoBack"/>
      <w:bookmarkEnd w:id="0"/>
    </w:p>
    <w:p w:rsidR="00F734FE" w:rsidRPr="003B0359" w:rsidRDefault="00F734FE" w:rsidP="00AE4207">
      <w:pPr>
        <w:shd w:val="clear" w:color="auto" w:fill="EFEDDF"/>
        <w:spacing w:after="0"/>
        <w:jc w:val="center"/>
        <w:textAlignment w:val="top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F734FE" w:rsidRPr="003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A39"/>
    <w:multiLevelType w:val="multilevel"/>
    <w:tmpl w:val="78FCD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97"/>
    <w:rsid w:val="00237B0E"/>
    <w:rsid w:val="003B0359"/>
    <w:rsid w:val="00A47297"/>
    <w:rsid w:val="00AE4207"/>
    <w:rsid w:val="00EA5907"/>
    <w:rsid w:val="00EE76AD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7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08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4411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973774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93686613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018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7181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22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50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55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8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50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2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070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5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6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893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2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5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37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374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90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71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4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3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90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88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8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002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3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2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6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89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3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53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24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77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91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8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83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7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99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441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8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76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088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4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01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252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97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47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96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934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62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90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0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67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20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3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005">
                  <w:marLeft w:val="0"/>
                  <w:marRight w:val="0"/>
                  <w:marTop w:val="360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785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18039">
          <w:marLeft w:val="3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3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1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s.ru/images/cms/data/novosti/2020/april/3/ne_zazhigaj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gs.ru/images/cms/data/novosti/2020/april/3/ne_zazhigaj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yrga.bezformata.com/word/protivopozharnoj/2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yrga.bezformata.com/word/ogorodnicheskih/18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2020-04-18T03:21:00Z</dcterms:created>
  <dcterms:modified xsi:type="dcterms:W3CDTF">2020-04-18T03:27:00Z</dcterms:modified>
</cp:coreProperties>
</file>